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="240" w:lineRule="auto"/>
      </w:pPr>
      <w:r>
        <w:rPr>
          <w:rFonts w:ascii="Calibri" w:hAnsi="Calibri"/>
          <w:b/>
          <w:color w:val="0B2545"/>
          <w:sz w:val="46"/>
        </w:rPr>
        <w:t>VENDOR SERVICES AGREEMENT</w:t>
      </w:r>
    </w:p>
    <w:p>
      <w:pPr>
        <w:spacing w:before="0" w:after="280" w:line="264" w:lineRule="auto"/>
      </w:pPr>
      <w:r>
        <w:rPr>
          <w:rFonts w:ascii="Calibri" w:hAnsi="Calibri"/>
          <w:i/>
          <w:color w:val="5B6573"/>
          <w:sz w:val="24"/>
        </w:rPr>
        <w:t>Public comparison sample — fictional document, not legal advice</w:t>
      </w:r>
    </w:p>
    <w:p>
      <w:pPr>
        <w:spacing w:before="0" w:after="40" w:line="252" w:lineRule="auto"/>
      </w:pPr>
      <w:r>
        <w:rPr>
          <w:rFonts w:ascii="Calibri" w:hAnsi="Calibri"/>
          <w:b/>
          <w:color w:val="0B2545"/>
          <w:sz w:val="21"/>
        </w:rPr>
        <w:t xml:space="preserve">Parties: </w:t>
      </w:r>
      <w:r>
        <w:rPr>
          <w:rFonts w:ascii="Calibri" w:hAnsi="Calibri"/>
          <w:color w:val="0B2545"/>
          <w:sz w:val="21"/>
        </w:rPr>
        <w:t>Northstar Retail LLC and Riverbend Systems Inc.</w:t>
      </w:r>
    </w:p>
    <w:p>
      <w:pPr>
        <w:spacing w:before="0" w:after="40" w:line="252" w:lineRule="auto"/>
      </w:pPr>
      <w:r>
        <w:rPr>
          <w:rFonts w:ascii="Calibri" w:hAnsi="Calibri"/>
          <w:b/>
          <w:color w:val="0B2545"/>
          <w:sz w:val="21"/>
        </w:rPr>
        <w:t xml:space="preserve">Effective date: </w:t>
      </w:r>
      <w:r>
        <w:rPr>
          <w:rFonts w:ascii="Calibri" w:hAnsi="Calibri"/>
          <w:color w:val="0B2545"/>
          <w:sz w:val="21"/>
        </w:rPr>
        <w:t>July 1, 2026</w:t>
      </w:r>
    </w:p>
    <w:p>
      <w:pPr>
        <w:spacing w:before="0" w:after="40" w:line="252" w:lineRule="auto"/>
      </w:pPr>
      <w:r>
        <w:rPr>
          <w:rFonts w:ascii="Calibri" w:hAnsi="Calibri"/>
          <w:b/>
          <w:color w:val="0B2545"/>
          <w:sz w:val="21"/>
        </w:rPr>
        <w:t xml:space="preserve">Purpose: </w:t>
      </w:r>
      <w:r>
        <w:rPr>
          <w:rFonts w:ascii="Calibri" w:hAnsi="Calibri"/>
          <w:color w:val="0B2545"/>
          <w:sz w:val="21"/>
        </w:rPr>
        <w:t>Testing extracted-text comparison with a stable DOCX layout</w:t>
      </w:r>
    </w:p>
    <w:p>
      <w:pPr>
        <w:spacing w:before="100" w:after="200" w:line="240" w:lineRule="auto"/>
        <w:pBdr>
          <w:bottom w:val="single" w:sz="16" w:space="1" w:color="0B2545"/>
        </w:pBdr>
      </w:pPr>
    </w:p>
    <w:p>
      <w:pPr>
        <w:pStyle w:val="Heading2"/>
      </w:pPr>
      <w:r>
        <w:t>1. Services</w:t>
      </w:r>
    </w:p>
    <w:p>
      <w:pPr>
        <w:spacing w:before="0" w:after="120" w:line="300" w:lineRule="auto"/>
      </w:pPr>
      <w:r>
        <w:t>The Provider will deliver onboarding, monitor the daily data synchronization, and prepare a quarterly performance summary for the Customer.</w:t>
      </w:r>
    </w:p>
    <w:p>
      <w:pPr>
        <w:pStyle w:val="Heading2"/>
      </w:pPr>
      <w:r>
        <w:t>2. Fees</w:t>
      </w:r>
    </w:p>
    <w:p>
      <w:pPr>
        <w:spacing w:before="0" w:after="120" w:line="300" w:lineRule="auto"/>
      </w:pPr>
      <w:r>
        <w:t>The Customer will pay a monthly service fee of $12,500, due within 15 days of each invoice.</w:t>
      </w:r>
    </w:p>
    <w:p>
      <w:pPr>
        <w:pStyle w:val="Heading2"/>
      </w:pPr>
      <w:r>
        <w:t>3. Term and notice</w:t>
      </w:r>
    </w:p>
    <w:p>
      <w:pPr>
        <w:spacing w:before="0" w:after="120" w:line="300" w:lineRule="auto"/>
      </w:pPr>
      <w:r>
        <w:t>The initial term is 12 months. Either party may elect not to renew by giving at least 30 days' written notice before the end of the initial term.</w:t>
      </w:r>
    </w:p>
    <w:p>
      <w:pPr>
        <w:pStyle w:val="Heading2"/>
      </w:pPr>
      <w:r>
        <w:t>4. Support and deliverables</w:t>
      </w:r>
    </w:p>
    <w:p>
      <w:pPr>
        <w:spacing w:before="0" w:after="120" w:line="300" w:lineRule="auto"/>
      </w:pPr>
      <w:r>
        <w:t>Support is available Monday through Friday, 9:00 a.m. to 5:00 p.m. Pacific Time. The monthly fee includes two hours of custom report assistance.</w:t>
      </w:r>
    </w:p>
    <w:p>
      <w:pPr>
        <w:pStyle w:val="ListBullet"/>
      </w:pPr>
      <w:r>
        <w:rPr>
          <w:rFonts w:ascii="Calibri" w:hAnsi="Calibri"/>
          <w:color w:val="0B2545"/>
          <w:sz w:val="22"/>
        </w:rPr>
        <w:t>Implementation plan within 10 business days.</w:t>
      </w:r>
    </w:p>
    <w:p>
      <w:pPr>
        <w:pStyle w:val="ListBullet"/>
      </w:pPr>
      <w:r>
        <w:rPr>
          <w:rFonts w:ascii="Calibri" w:hAnsi="Calibri"/>
          <w:color w:val="0B2545"/>
          <w:sz w:val="22"/>
        </w:rPr>
        <w:t>Monthly system health report.</w:t>
      </w:r>
    </w:p>
    <w:p>
      <w:pPr>
        <w:pStyle w:val="Heading2"/>
      </w:pPr>
      <w:r>
        <w:t>5. Service schedule</w:t>
      </w:r>
    </w:p>
    <w:p>
      <w:pPr>
        <w:spacing w:before="80" w:after="80" w:line="300" w:lineRule="auto"/>
      </w:pPr>
      <w:r>
        <w:t>The following operational targets are included in this fictional sample.</w:t>
      </w:r>
    </w:p>
    <w:tbl>
      <w:tblPr>
        <w:tblStyle w:val="TableGrid"/>
        <w:jc w:val="left"/>
        <w:tblLook w:firstColumn="1" w:firstRow="1" w:lastColumn="0" w:lastRow="0" w:noHBand="0" w:noVBand="1" w:val="04A0"/>
        <w:tblW w:w="9360" w:type="dxa"/>
        <w:tblInd w:w="120" w:type="dxa"/>
        <w:tblLayout w:type="fixed"/>
      </w:tblPr>
      <w:tblGrid>
        <w:gridCol w:w="2880"/>
        <w:gridCol w:w="2880"/>
        <w:gridCol w:w="3600"/>
      </w:tblGrid>
      <w:tr>
        <w:tc>
          <w:tcPr>
            <w:tcW w:type="dxa" w:w="2880"/>
            <w:shd w:fill="E8EEF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/>
                <w:color w:val="0B2545"/>
                <w:sz w:val="20"/>
              </w:rPr>
              <w:t>Service</w:t>
            </w:r>
          </w:p>
        </w:tc>
        <w:tc>
          <w:tcPr>
            <w:tcW w:type="dxa" w:w="2880"/>
            <w:shd w:fill="E8EEF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/>
                <w:color w:val="0B2545"/>
                <w:sz w:val="20"/>
              </w:rPr>
              <w:t>Owner</w:t>
            </w:r>
          </w:p>
        </w:tc>
        <w:tc>
          <w:tcPr>
            <w:tcW w:type="dxa" w:w="3600"/>
            <w:shd w:fill="E8EEF5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b/>
                <w:color w:val="0B2545"/>
                <w:sz w:val="20"/>
              </w:rPr>
              <w:t>Target</w:t>
            </w:r>
          </w:p>
        </w:tc>
      </w:tr>
      <w:tr>
        <w:tc>
          <w:tcPr>
            <w:tcW w:type="dxa" w:w="28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Data synchronization</w:t>
            </w:r>
          </w:p>
        </w:tc>
        <w:tc>
          <w:tcPr>
            <w:tcW w:type="dxa" w:w="28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Provider</w:t>
            </w:r>
          </w:p>
        </w:tc>
        <w:tc>
          <w:tcPr>
            <w:tcW w:type="dxa" w:w="3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Daily</w:t>
            </w:r>
          </w:p>
        </w:tc>
      </w:tr>
      <w:tr>
        <w:tc>
          <w:tcPr>
            <w:tcW w:type="dxa" w:w="2880"/>
            <w:shd w:fill="F4F6F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Priority issue response</w:t>
            </w:r>
          </w:p>
        </w:tc>
        <w:tc>
          <w:tcPr>
            <w:tcW w:type="dxa" w:w="2880"/>
            <w:shd w:fill="F4F6F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Provider</w:t>
            </w:r>
          </w:p>
        </w:tc>
        <w:tc>
          <w:tcPr>
            <w:tcW w:type="dxa" w:w="3600"/>
            <w:shd w:fill="F4F6F9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2 business days</w:t>
            </w:r>
          </w:p>
        </w:tc>
      </w:tr>
      <w:tr>
        <w:tc>
          <w:tcPr>
            <w:tcW w:type="dxa" w:w="28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Review meeting</w:t>
            </w:r>
          </w:p>
        </w:tc>
        <w:tc>
          <w:tcPr>
            <w:tcW w:type="dxa" w:w="288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Both parties</w:t>
            </w:r>
          </w:p>
        </w:tc>
        <w:tc>
          <w:tcPr>
            <w:tcW w:type="dxa" w:w="3600"/>
            <w:vAlign w:val="center"/>
            <w:tcMar>
              <w:top w:w="80" w:type="dxa"/>
              <w:start w:w="120" w:type="dxa"/>
              <w:bottom w:w="80" w:type="dxa"/>
              <w:end w:w="120" w:type="dxa"/>
            </w:tcMar>
          </w:tcPr>
          <w:p>
            <w:pPr>
              <w:spacing w:before="0" w:after="0" w:line="264" w:lineRule="auto"/>
            </w:pPr>
            <w:r>
              <w:rPr>
                <w:rFonts w:ascii="Calibri" w:hAnsi="Calibri"/>
                <w:color w:val="0B2545"/>
                <w:sz w:val="20"/>
              </w:rPr>
              <w:t>Quarterly</w:t>
            </w:r>
          </w:p>
        </w:tc>
      </w:tr>
    </w:tbl>
    <w:p>
      <w:pPr>
        <w:spacing w:before="80" w:after="80" w:line="300" w:lineRule="auto"/>
      </w:pPr>
      <w:r>
        <w:rPr>
          <w:rFonts w:ascii="Calibri" w:hAnsi="Calibri"/>
          <w:i/>
          <w:color w:val="5B6573"/>
          <w:sz w:val="18"/>
        </w:rPr>
        <w:t>Verification note: compare the Target cell in the second data row between files.</w:t>
      </w:r>
    </w:p>
    <w:p>
      <w:pPr>
        <w:spacing w:before="200" w:after="0" w:line="300" w:lineRule="auto"/>
      </w:pPr>
      <w:r>
        <w:rPr>
          <w:rFonts w:ascii="Calibri" w:hAnsi="Calibri"/>
          <w:b/>
          <w:color w:val="5B6573"/>
          <w:sz w:val="18"/>
        </w:rPr>
        <w:t>END OF FICTIONAL SAMPLE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/>
        <w:color w:val="5B6573"/>
        <w:sz w:val="18"/>
      </w:rPr>
      <w:t xml:space="preserve">Page </w:t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0" w:line="240" w:lineRule="auto"/>
      <w:jc w:val="left"/>
    </w:pPr>
    <w:r>
      <w:rPr>
        <w:rFonts w:ascii="Calibri" w:hAnsi="Calibri"/>
        <w:b/>
        <w:color w:val="5B6573"/>
        <w:sz w:val="18"/>
      </w:rPr>
      <w:t>COMPARE2WORD PUBLIC TEST SAMPLE</w:t>
    </w:r>
    <w:r>
      <w:rPr>
        <w:rFonts w:ascii="Calibri" w:hAnsi="Calibri"/>
        <w:color w:val="5B6573"/>
        <w:sz w:val="18"/>
      </w:rPr>
      <w:t xml:space="preserve">  |  Fictional content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 w:line="300" w:lineRule="auto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 w:line="300" w:lineRule="auto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 w:line="300" w:lineRule="auto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tabs>
        <w:tab w:pos="540" w:val="left"/>
      </w:tabs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tabs>
        <w:tab w:pos="540" w:val="left"/>
      </w:tabs>
      <w:spacing w:after="80" w:line="300" w:lineRule="auto"/>
      <w:ind w:left="540" w:hanging="271"/>
      <w:contextualSpacing/>
    </w:pPr>
    <w:rPr>
      <w:rFonts w:ascii="Calibri" w:hAnsi="Calibr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Services Agreement — Public Comparison Sample</dc:title>
  <dc:subject>Fictional DOCX input for testing text comparison</dc:subject>
  <dc:creator>Compare2Word</dc:creator>
  <cp:keywords>sample, DOCX, document comparison</cp:keywords>
  <dc:description>This fictional sample is not legal advice.</dc:description>
  <cp:lastModifiedBy>Compare2Word</cp:lastModifiedBy>
  <cp:revision>1</cp:revision>
  <dcterms:created xsi:type="dcterms:W3CDTF">2026-07-16T00:00:00Z</dcterms:created>
  <dcterms:modified xsi:type="dcterms:W3CDTF">2026-07-16T00:00:00Z</dcterms:modified>
  <cp:category/>
</cp:coreProperties>
</file>